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6FA3" w:rsidRDefault="006C6FA3" w:rsidP="006C6FA3">
      <w:pPr>
        <w:pageBreakBefore/>
        <w:widowControl w:val="0"/>
        <w:tabs>
          <w:tab w:val="left" w:pos="993"/>
        </w:tabs>
        <w:spacing w:line="276" w:lineRule="auto"/>
        <w:jc w:val="right"/>
        <w:rPr>
          <w:b/>
          <w:i/>
          <w:sz w:val="26"/>
          <w:szCs w:val="26"/>
        </w:rPr>
      </w:pPr>
      <w:r>
        <w:rPr>
          <w:b/>
          <w:i/>
          <w:sz w:val="26"/>
          <w:szCs w:val="26"/>
        </w:rPr>
        <w:t xml:space="preserve">Приложение 2 к ТТ     </w:t>
      </w:r>
      <w:r>
        <w:rPr>
          <w:b/>
          <w:i/>
          <w:sz w:val="26"/>
          <w:szCs w:val="26"/>
        </w:rPr>
        <w:t>Приложение № 2.1: «Объемы и виды выполняемых работ».</w:t>
      </w:r>
    </w:p>
    <w:p w:rsidR="006C6FA3" w:rsidRDefault="006C6FA3" w:rsidP="006C6FA3">
      <w:pPr>
        <w:ind w:firstLine="680"/>
      </w:pPr>
    </w:p>
    <w:p w:rsidR="006C6FA3" w:rsidRDefault="006C6FA3" w:rsidP="006C6FA3">
      <w:pPr>
        <w:widowControl w:val="0"/>
        <w:tabs>
          <w:tab w:val="left" w:pos="993"/>
        </w:tabs>
        <w:spacing w:line="276" w:lineRule="auto"/>
        <w:ind w:left="-142"/>
        <w:contextualSpacing/>
        <w:jc w:val="both"/>
        <w:rPr>
          <w:sz w:val="26"/>
          <w:szCs w:val="26"/>
        </w:rPr>
      </w:pPr>
      <w:r>
        <w:rPr>
          <w:b/>
          <w:i/>
          <w:sz w:val="26"/>
          <w:szCs w:val="26"/>
        </w:rPr>
        <w:tab/>
        <w:t xml:space="preserve">Объемы и требования к выполнению </w:t>
      </w:r>
      <w:r>
        <w:rPr>
          <w:b/>
          <w:i/>
          <w:sz w:val="26"/>
          <w:szCs w:val="26"/>
        </w:rPr>
        <w:t>работ,</w:t>
      </w:r>
      <w:r>
        <w:rPr>
          <w:b/>
          <w:i/>
          <w:sz w:val="26"/>
          <w:szCs w:val="26"/>
        </w:rPr>
        <w:t xml:space="preserve"> указанных в п.п.2.1.2. настоящих ТТ</w:t>
      </w:r>
      <w:r>
        <w:rPr>
          <w:sz w:val="26"/>
          <w:szCs w:val="26"/>
        </w:rPr>
        <w:t>:</w:t>
      </w:r>
    </w:p>
    <w:p w:rsidR="006C6FA3" w:rsidRDefault="006C6FA3" w:rsidP="006C6FA3">
      <w:pPr>
        <w:widowControl w:val="0"/>
        <w:tabs>
          <w:tab w:val="left" w:pos="993"/>
        </w:tabs>
        <w:spacing w:line="276" w:lineRule="auto"/>
        <w:ind w:left="-142"/>
        <w:contextualSpacing/>
        <w:jc w:val="both"/>
        <w:rPr>
          <w:sz w:val="26"/>
          <w:szCs w:val="26"/>
        </w:rPr>
      </w:pPr>
      <w:r>
        <w:rPr>
          <w:sz w:val="26"/>
          <w:szCs w:val="26"/>
        </w:rPr>
        <w:t>1. Подрядчик выполняет строительно-монтажные работы по организации ВОК:</w:t>
      </w:r>
    </w:p>
    <w:p w:rsidR="006C6FA3" w:rsidRDefault="006C6FA3" w:rsidP="006C6FA3">
      <w:pPr>
        <w:widowControl w:val="0"/>
        <w:tabs>
          <w:tab w:val="left" w:pos="993"/>
        </w:tabs>
        <w:spacing w:line="276" w:lineRule="auto"/>
        <w:ind w:left="-142"/>
        <w:contextualSpacing/>
        <w:jc w:val="both"/>
        <w:rPr>
          <w:sz w:val="26"/>
          <w:szCs w:val="26"/>
        </w:rPr>
      </w:pPr>
      <w:r>
        <w:rPr>
          <w:sz w:val="26"/>
          <w:szCs w:val="26"/>
        </w:rPr>
        <w:t>1.1. Прокладка ОКСН (диэлектрический ВОК ём</w:t>
      </w:r>
      <w:bookmarkStart w:id="0" w:name="_GoBack"/>
      <w:bookmarkEnd w:id="0"/>
      <w:r>
        <w:rPr>
          <w:sz w:val="26"/>
          <w:szCs w:val="26"/>
        </w:rPr>
        <w:t>костью 16 оптических волокон G.652) на участке от комнаты связи ПС «К» по опорам ВЛ 110 кВ С-117/118 (оп.40-оп.33), ВЛ 35 кВ Т-166 (оп.31- оп.52) до комнаты связи ПС 35кВ «Таежная», от ПС 35кВ «Таежная» по опорам ВЛ 35 кВ Т-222 (оп.17- оп.1) до ячейки телемеханики и связи(ЯТС-80) на ПС 110 кВ «БАМ-ПТФ».</w:t>
      </w:r>
    </w:p>
    <w:p w:rsidR="006C6FA3" w:rsidRDefault="006C6FA3" w:rsidP="006C6FA3">
      <w:pPr>
        <w:widowControl w:val="0"/>
        <w:tabs>
          <w:tab w:val="left" w:pos="993"/>
        </w:tabs>
        <w:spacing w:line="276" w:lineRule="auto"/>
        <w:ind w:left="-142"/>
        <w:contextualSpacing/>
        <w:jc w:val="both"/>
        <w:rPr>
          <w:sz w:val="26"/>
          <w:szCs w:val="26"/>
        </w:rPr>
      </w:pPr>
      <w:r>
        <w:rPr>
          <w:sz w:val="26"/>
          <w:szCs w:val="26"/>
        </w:rPr>
        <w:t>1.2. Монтаж оптических муфт и кроссов:</w:t>
      </w:r>
    </w:p>
    <w:p w:rsidR="006C6FA3" w:rsidRDefault="006C6FA3" w:rsidP="006C6FA3">
      <w:pPr>
        <w:widowControl w:val="0"/>
        <w:tabs>
          <w:tab w:val="left" w:pos="993"/>
        </w:tabs>
        <w:spacing w:line="276" w:lineRule="auto"/>
        <w:ind w:left="-142"/>
        <w:contextualSpacing/>
        <w:jc w:val="both"/>
        <w:rPr>
          <w:sz w:val="26"/>
          <w:szCs w:val="26"/>
        </w:rPr>
      </w:pPr>
      <w:r>
        <w:rPr>
          <w:sz w:val="26"/>
          <w:szCs w:val="26"/>
        </w:rPr>
        <w:t>– оптические кроссы 1U на 16 адаптеров FC/UPC поставляются Подрядчиком и монтируются в устанавливаемые телекоммуникационные шкафы связи ПС «К» и ПС «БАМ-ПТФ», на ПС «Таежная» монтируется настенный кросс;</w:t>
      </w:r>
    </w:p>
    <w:p w:rsidR="006C6FA3" w:rsidRDefault="006C6FA3" w:rsidP="006C6FA3">
      <w:pPr>
        <w:widowControl w:val="0"/>
        <w:tabs>
          <w:tab w:val="left" w:pos="993"/>
        </w:tabs>
        <w:spacing w:line="276" w:lineRule="auto"/>
        <w:ind w:left="-142"/>
        <w:contextualSpacing/>
        <w:jc w:val="both"/>
        <w:rPr>
          <w:sz w:val="26"/>
          <w:szCs w:val="26"/>
        </w:rPr>
      </w:pPr>
      <w:r>
        <w:rPr>
          <w:sz w:val="26"/>
          <w:szCs w:val="26"/>
        </w:rPr>
        <w:t>1.3. Марка самонесущего волоконно-оптического кабеля, поставляемого Подрядчиком:</w:t>
      </w:r>
    </w:p>
    <w:p w:rsidR="006C6FA3" w:rsidRDefault="006C6FA3" w:rsidP="006C6FA3">
      <w:pPr>
        <w:widowControl w:val="0"/>
        <w:tabs>
          <w:tab w:val="left" w:pos="993"/>
        </w:tabs>
        <w:spacing w:line="276" w:lineRule="auto"/>
        <w:ind w:left="-142"/>
        <w:contextualSpacing/>
        <w:jc w:val="both"/>
        <w:rPr>
          <w:sz w:val="26"/>
          <w:szCs w:val="26"/>
        </w:rPr>
      </w:pPr>
      <w:r>
        <w:rPr>
          <w:sz w:val="26"/>
          <w:szCs w:val="26"/>
        </w:rPr>
        <w:t xml:space="preserve">- ОКЛЖ-Т-01-6-16-10/125-0.36/0.22-3.5/18-30.0 (производитель Самарская оптическая компания, г. Самара) или аналог. </w:t>
      </w:r>
    </w:p>
    <w:p w:rsidR="006C6FA3" w:rsidRDefault="006C6FA3" w:rsidP="006C6FA3">
      <w:pPr>
        <w:widowControl w:val="0"/>
        <w:tabs>
          <w:tab w:val="left" w:pos="993"/>
        </w:tabs>
        <w:spacing w:line="276" w:lineRule="auto"/>
        <w:ind w:left="-142"/>
        <w:contextualSpacing/>
        <w:jc w:val="both"/>
        <w:rPr>
          <w:sz w:val="26"/>
          <w:szCs w:val="26"/>
        </w:rPr>
      </w:pPr>
      <w:r>
        <w:rPr>
          <w:sz w:val="26"/>
          <w:szCs w:val="26"/>
        </w:rPr>
        <w:tab/>
        <w:t>Длина ВОК для подвески/прокладки, требуемая допустимая растягивающая нагрузка применяемого ВОК, места размещения и количество оптических муфт с устройством выкладки технологического запаса ВОК, количество и номенклатура спиральных зажимов НСО-П/ ПСО-П, узлов крепления, арматуры подвески, лотков и других необходимых материалов – определяется Подрядчиком на этапе предварительного обследования и разработанного Подрядчиком Рабочего проекта и поставляются Подрядчиком. Рабочий проект Подрядчик согласовывает с Заказчиком до начала выполнения работ.</w:t>
      </w:r>
    </w:p>
    <w:p w:rsidR="006C6FA3" w:rsidRDefault="006C6FA3" w:rsidP="006C6FA3">
      <w:pPr>
        <w:widowControl w:val="0"/>
        <w:tabs>
          <w:tab w:val="left" w:pos="993"/>
        </w:tabs>
        <w:spacing w:line="276" w:lineRule="auto"/>
        <w:ind w:left="-142"/>
        <w:contextualSpacing/>
        <w:jc w:val="both"/>
        <w:rPr>
          <w:sz w:val="26"/>
          <w:szCs w:val="26"/>
        </w:rPr>
      </w:pPr>
      <w:r>
        <w:rPr>
          <w:sz w:val="26"/>
          <w:szCs w:val="26"/>
        </w:rPr>
        <w:t>2.</w:t>
      </w:r>
      <w:r>
        <w:rPr>
          <w:sz w:val="26"/>
          <w:szCs w:val="26"/>
        </w:rPr>
        <w:tab/>
      </w:r>
      <w:r>
        <w:rPr>
          <w:sz w:val="26"/>
          <w:szCs w:val="26"/>
        </w:rPr>
        <w:tab/>
        <w:t xml:space="preserve">Монтаж оборудования ВОЛП в помещениях связи </w:t>
      </w:r>
      <w:proofErr w:type="spellStart"/>
      <w:r>
        <w:rPr>
          <w:sz w:val="26"/>
          <w:szCs w:val="26"/>
        </w:rPr>
        <w:t>энергообъектов</w:t>
      </w:r>
      <w:proofErr w:type="spellEnd"/>
      <w:r>
        <w:rPr>
          <w:sz w:val="26"/>
          <w:szCs w:val="26"/>
        </w:rPr>
        <w:t xml:space="preserve">.              </w:t>
      </w:r>
    </w:p>
    <w:p w:rsidR="006C6FA3" w:rsidRDefault="006C6FA3" w:rsidP="006C6FA3">
      <w:pPr>
        <w:widowControl w:val="0"/>
        <w:tabs>
          <w:tab w:val="left" w:pos="993"/>
        </w:tabs>
        <w:spacing w:line="276" w:lineRule="auto"/>
        <w:ind w:left="-142"/>
        <w:contextualSpacing/>
        <w:jc w:val="both"/>
        <w:rPr>
          <w:sz w:val="26"/>
          <w:szCs w:val="26"/>
        </w:rPr>
      </w:pPr>
      <w:r>
        <w:rPr>
          <w:sz w:val="26"/>
          <w:szCs w:val="26"/>
        </w:rPr>
        <w:t>2.1.</w:t>
      </w:r>
      <w:r>
        <w:rPr>
          <w:sz w:val="26"/>
          <w:szCs w:val="26"/>
        </w:rPr>
        <w:tab/>
        <w:t xml:space="preserve">На ПС 110 кВ «К», 110 кВ «БАМ-ПТФ» выполнить заходы ВОК с устройством оптических кроссов в помещениях связи. На ПС 35 кВ «Таежная» выполнить заход ВОК с установкой </w:t>
      </w:r>
      <w:proofErr w:type="spellStart"/>
      <w:r>
        <w:rPr>
          <w:sz w:val="26"/>
          <w:szCs w:val="26"/>
        </w:rPr>
        <w:t>разветвительной</w:t>
      </w:r>
      <w:proofErr w:type="spellEnd"/>
      <w:r>
        <w:rPr>
          <w:sz w:val="26"/>
          <w:szCs w:val="26"/>
        </w:rPr>
        <w:t xml:space="preserve"> муфты.</w:t>
      </w:r>
    </w:p>
    <w:p w:rsidR="006C6FA3" w:rsidRDefault="006C6FA3" w:rsidP="006C6FA3">
      <w:pPr>
        <w:widowControl w:val="0"/>
        <w:tabs>
          <w:tab w:val="left" w:pos="993"/>
        </w:tabs>
        <w:spacing w:line="276" w:lineRule="auto"/>
        <w:ind w:left="-142"/>
        <w:contextualSpacing/>
        <w:jc w:val="both"/>
        <w:rPr>
          <w:sz w:val="26"/>
          <w:szCs w:val="26"/>
        </w:rPr>
      </w:pPr>
      <w:r>
        <w:rPr>
          <w:sz w:val="26"/>
          <w:szCs w:val="26"/>
        </w:rPr>
        <w:t xml:space="preserve"> На ПС «К» и ПС «БАМ-ПТФ» установить в телекоммуникационные шкафы медиа-конвертеры </w:t>
      </w:r>
      <w:r>
        <w:rPr>
          <w:sz w:val="26"/>
          <w:szCs w:val="26"/>
          <w:lang w:val="en-US"/>
        </w:rPr>
        <w:t>D</w:t>
      </w:r>
      <w:r>
        <w:rPr>
          <w:sz w:val="26"/>
          <w:szCs w:val="26"/>
        </w:rPr>
        <w:t>-</w:t>
      </w:r>
      <w:r>
        <w:rPr>
          <w:sz w:val="26"/>
          <w:szCs w:val="26"/>
          <w:lang w:val="en-US"/>
        </w:rPr>
        <w:t>Link</w:t>
      </w:r>
      <w:r w:rsidRPr="006C6FA3">
        <w:rPr>
          <w:sz w:val="26"/>
          <w:szCs w:val="26"/>
        </w:rPr>
        <w:t xml:space="preserve"> </w:t>
      </w:r>
      <w:r>
        <w:rPr>
          <w:sz w:val="26"/>
          <w:szCs w:val="26"/>
          <w:lang w:val="en-US"/>
        </w:rPr>
        <w:t>DMC</w:t>
      </w:r>
      <w:r>
        <w:rPr>
          <w:sz w:val="26"/>
          <w:szCs w:val="26"/>
        </w:rPr>
        <w:t>-920</w:t>
      </w:r>
      <w:r>
        <w:rPr>
          <w:sz w:val="26"/>
          <w:szCs w:val="26"/>
          <w:lang w:val="en-US"/>
        </w:rPr>
        <w:t>R</w:t>
      </w:r>
      <w:r>
        <w:rPr>
          <w:sz w:val="26"/>
          <w:szCs w:val="26"/>
        </w:rPr>
        <w:t>(</w:t>
      </w:r>
      <w:r>
        <w:rPr>
          <w:sz w:val="26"/>
          <w:szCs w:val="26"/>
          <w:lang w:val="en-US"/>
        </w:rPr>
        <w:t>T</w:t>
      </w:r>
      <w:r>
        <w:rPr>
          <w:sz w:val="26"/>
          <w:szCs w:val="26"/>
        </w:rPr>
        <w:t xml:space="preserve">), на ПС «БАМ-ПТФ» коммутатор, </w:t>
      </w:r>
      <w:r>
        <w:rPr>
          <w:sz w:val="26"/>
          <w:szCs w:val="26"/>
          <w:lang w:val="en-US"/>
        </w:rPr>
        <w:t>VoIP</w:t>
      </w:r>
      <w:r>
        <w:rPr>
          <w:sz w:val="26"/>
          <w:szCs w:val="26"/>
        </w:rPr>
        <w:t>-шлюз, проводной телефон.</w:t>
      </w:r>
    </w:p>
    <w:p w:rsidR="006C6FA3" w:rsidRDefault="006C6FA3" w:rsidP="006C6FA3">
      <w:pPr>
        <w:widowControl w:val="0"/>
        <w:tabs>
          <w:tab w:val="left" w:pos="993"/>
        </w:tabs>
        <w:spacing w:line="276" w:lineRule="auto"/>
        <w:ind w:left="-142"/>
        <w:contextualSpacing/>
        <w:jc w:val="both"/>
        <w:rPr>
          <w:sz w:val="26"/>
          <w:szCs w:val="26"/>
        </w:rPr>
      </w:pPr>
      <w:r>
        <w:rPr>
          <w:sz w:val="26"/>
          <w:szCs w:val="26"/>
        </w:rPr>
        <w:t>2.2.</w:t>
      </w:r>
      <w:r>
        <w:rPr>
          <w:sz w:val="26"/>
          <w:szCs w:val="26"/>
        </w:rPr>
        <w:tab/>
        <w:t>Выполнить пусконаладочные работы устанавливаемого оборудования ВОЛП.</w:t>
      </w:r>
    </w:p>
    <w:p w:rsidR="006C6FA3" w:rsidRDefault="006C6FA3" w:rsidP="006C6FA3">
      <w:pPr>
        <w:widowControl w:val="0"/>
        <w:tabs>
          <w:tab w:val="left" w:pos="993"/>
        </w:tabs>
        <w:spacing w:line="276" w:lineRule="auto"/>
        <w:ind w:left="-142"/>
        <w:contextualSpacing/>
        <w:jc w:val="both"/>
        <w:rPr>
          <w:sz w:val="26"/>
          <w:szCs w:val="26"/>
        </w:rPr>
      </w:pPr>
      <w:r>
        <w:rPr>
          <w:sz w:val="26"/>
          <w:szCs w:val="26"/>
        </w:rPr>
        <w:t>2.3.</w:t>
      </w:r>
      <w:r>
        <w:rPr>
          <w:sz w:val="26"/>
          <w:szCs w:val="26"/>
        </w:rPr>
        <w:tab/>
        <w:t xml:space="preserve">Подготовка и сдача Заказчику исполнительной документации по ВОЛП. </w:t>
      </w:r>
    </w:p>
    <w:p w:rsidR="006C6FA3" w:rsidRDefault="006C6FA3" w:rsidP="006C6FA3">
      <w:pPr>
        <w:widowControl w:val="0"/>
        <w:tabs>
          <w:tab w:val="left" w:pos="993"/>
        </w:tabs>
        <w:spacing w:line="276" w:lineRule="auto"/>
        <w:ind w:left="-142"/>
        <w:contextualSpacing/>
        <w:jc w:val="both"/>
        <w:rPr>
          <w:sz w:val="26"/>
          <w:szCs w:val="26"/>
        </w:rPr>
      </w:pPr>
      <w:r>
        <w:rPr>
          <w:sz w:val="26"/>
          <w:szCs w:val="26"/>
        </w:rPr>
        <w:t>3.</w:t>
      </w:r>
      <w:r>
        <w:rPr>
          <w:sz w:val="26"/>
          <w:szCs w:val="26"/>
        </w:rPr>
        <w:tab/>
        <w:t>Произвести предварительное обследование трассы и объектов ВОЛП Подрядчик составляет документацию в виде:</w:t>
      </w:r>
    </w:p>
    <w:p w:rsidR="006C6FA3" w:rsidRDefault="006C6FA3" w:rsidP="006C6FA3">
      <w:pPr>
        <w:widowControl w:val="0"/>
        <w:tabs>
          <w:tab w:val="left" w:pos="993"/>
        </w:tabs>
        <w:spacing w:line="276" w:lineRule="auto"/>
        <w:ind w:left="-142"/>
        <w:contextualSpacing/>
        <w:jc w:val="both"/>
        <w:rPr>
          <w:sz w:val="26"/>
          <w:szCs w:val="26"/>
        </w:rPr>
      </w:pPr>
      <w:r>
        <w:rPr>
          <w:sz w:val="26"/>
          <w:szCs w:val="26"/>
        </w:rPr>
        <w:t xml:space="preserve">-  Проекта производства работ, на весь объем работ (с </w:t>
      </w:r>
      <w:proofErr w:type="spellStart"/>
      <w:r>
        <w:rPr>
          <w:sz w:val="26"/>
          <w:szCs w:val="26"/>
        </w:rPr>
        <w:t>пообъектной</w:t>
      </w:r>
      <w:proofErr w:type="spellEnd"/>
      <w:r>
        <w:rPr>
          <w:sz w:val="26"/>
          <w:szCs w:val="26"/>
        </w:rPr>
        <w:t xml:space="preserve"> разбивкой), согласовывает ее с Заказчиком. В ППР должны быть отражены объемы работ, комплекс мероприятий по обеспечению безопасного производства работ, технологическая последовательность, график отключений действующего оборудования, место и условия подключения временных сетей электроснабжения, перевозок и складирования грузов, передвижения техники, а также размещения временных зданий и </w:t>
      </w:r>
      <w:proofErr w:type="gramStart"/>
      <w:r>
        <w:rPr>
          <w:sz w:val="26"/>
          <w:szCs w:val="26"/>
        </w:rPr>
        <w:t>сооружений</w:t>
      </w:r>
      <w:proofErr w:type="gramEnd"/>
      <w:r>
        <w:rPr>
          <w:sz w:val="26"/>
          <w:szCs w:val="26"/>
        </w:rPr>
        <w:t xml:space="preserve"> используемых для нужд складирования и хранения оборудования и материалов.</w:t>
      </w:r>
    </w:p>
    <w:p w:rsidR="006C6FA3" w:rsidRDefault="006C6FA3" w:rsidP="006C6FA3">
      <w:pPr>
        <w:widowControl w:val="0"/>
        <w:tabs>
          <w:tab w:val="left" w:pos="993"/>
        </w:tabs>
        <w:spacing w:line="276" w:lineRule="auto"/>
        <w:ind w:left="-142"/>
        <w:contextualSpacing/>
        <w:jc w:val="both"/>
        <w:rPr>
          <w:sz w:val="26"/>
          <w:szCs w:val="26"/>
        </w:rPr>
      </w:pPr>
      <w:r>
        <w:rPr>
          <w:sz w:val="26"/>
          <w:szCs w:val="26"/>
        </w:rPr>
        <w:t xml:space="preserve">- Рабочего проекта по ВОЛП включающего функциональные и принципиальные схемы </w:t>
      </w:r>
      <w:r>
        <w:rPr>
          <w:sz w:val="26"/>
          <w:szCs w:val="26"/>
        </w:rPr>
        <w:lastRenderedPageBreak/>
        <w:t xml:space="preserve">подвески ВОК, распределения ОВ, </w:t>
      </w:r>
      <w:proofErr w:type="spellStart"/>
      <w:r>
        <w:rPr>
          <w:sz w:val="26"/>
          <w:szCs w:val="26"/>
        </w:rPr>
        <w:t>разварки</w:t>
      </w:r>
      <w:proofErr w:type="spellEnd"/>
      <w:r>
        <w:rPr>
          <w:sz w:val="26"/>
          <w:szCs w:val="26"/>
        </w:rPr>
        <w:t xml:space="preserve"> муфт, подключений кроссов и монтируемого оборудования. Рабочий проект согласовывается с Заказчиком.</w:t>
      </w:r>
    </w:p>
    <w:p w:rsidR="006C6FA3" w:rsidRDefault="006C6FA3" w:rsidP="006C6FA3">
      <w:pPr>
        <w:widowControl w:val="0"/>
        <w:tabs>
          <w:tab w:val="left" w:pos="993"/>
        </w:tabs>
        <w:spacing w:line="276" w:lineRule="auto"/>
        <w:ind w:left="-142"/>
        <w:contextualSpacing/>
        <w:jc w:val="both"/>
        <w:rPr>
          <w:sz w:val="26"/>
          <w:szCs w:val="26"/>
        </w:rPr>
      </w:pPr>
      <w:r>
        <w:rPr>
          <w:sz w:val="26"/>
          <w:szCs w:val="26"/>
        </w:rPr>
        <w:t>3.1.</w:t>
      </w:r>
      <w:r>
        <w:rPr>
          <w:sz w:val="26"/>
          <w:szCs w:val="26"/>
        </w:rPr>
        <w:tab/>
        <w:t>По завершению работ Подрядчик предоставляет Заказчику исполнительную документацию с протоколами испытаний ВОК и смонтированного оборудования.</w:t>
      </w:r>
    </w:p>
    <w:p w:rsidR="006C6FA3" w:rsidRDefault="006C6FA3" w:rsidP="006C6FA3">
      <w:pPr>
        <w:widowControl w:val="0"/>
        <w:tabs>
          <w:tab w:val="left" w:pos="993"/>
        </w:tabs>
        <w:spacing w:line="276" w:lineRule="auto"/>
        <w:ind w:left="-142"/>
        <w:contextualSpacing/>
        <w:jc w:val="both"/>
        <w:rPr>
          <w:sz w:val="26"/>
          <w:szCs w:val="26"/>
        </w:rPr>
      </w:pPr>
      <w:r>
        <w:rPr>
          <w:sz w:val="26"/>
          <w:szCs w:val="26"/>
        </w:rPr>
        <w:t>3.2.</w:t>
      </w:r>
      <w:r>
        <w:rPr>
          <w:sz w:val="26"/>
          <w:szCs w:val="26"/>
        </w:rPr>
        <w:tab/>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Форма журнала должна соответствовать типовой межотраслевой Форме № КС-6, утвержденной постановлением Госкомстата России от 30.10.1997 №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6C6FA3" w:rsidRDefault="006C6FA3" w:rsidP="006C6FA3">
      <w:pPr>
        <w:widowControl w:val="0"/>
        <w:tabs>
          <w:tab w:val="left" w:pos="993"/>
        </w:tabs>
        <w:spacing w:line="276" w:lineRule="auto"/>
        <w:ind w:left="-142"/>
        <w:contextualSpacing/>
        <w:jc w:val="both"/>
        <w:rPr>
          <w:sz w:val="26"/>
          <w:szCs w:val="26"/>
        </w:rPr>
      </w:pPr>
      <w:r>
        <w:rPr>
          <w:sz w:val="26"/>
          <w:szCs w:val="26"/>
        </w:rPr>
        <w:t>3.3.</w:t>
      </w:r>
      <w:r>
        <w:rPr>
          <w:sz w:val="26"/>
          <w:szCs w:val="26"/>
        </w:rPr>
        <w:tab/>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6C6FA3" w:rsidRDefault="006C6FA3" w:rsidP="006C6FA3">
      <w:pPr>
        <w:ind w:firstLine="680"/>
        <w:jc w:val="both"/>
        <w:rPr>
          <w:sz w:val="22"/>
          <w:szCs w:val="22"/>
        </w:rPr>
      </w:pPr>
    </w:p>
    <w:p w:rsidR="006C6FA3" w:rsidRDefault="006C6FA3" w:rsidP="006C6FA3">
      <w:pPr>
        <w:jc w:val="both"/>
      </w:pPr>
    </w:p>
    <w:p w:rsidR="006C6FA3" w:rsidRDefault="006C6FA3" w:rsidP="006C6FA3">
      <w:pPr>
        <w:sectPr w:rsidR="006C6FA3" w:rsidSect="006C6FA3">
          <w:pgSz w:w="11907" w:h="16840"/>
          <w:pgMar w:top="426" w:right="567" w:bottom="1134" w:left="1418" w:header="142" w:footer="0" w:gutter="0"/>
          <w:paperSrc w:first="7" w:other="7"/>
          <w:cols w:space="720"/>
        </w:sectPr>
      </w:pPr>
    </w:p>
    <w:p w:rsidR="006C6FA3" w:rsidRDefault="006C6FA3" w:rsidP="006C6FA3">
      <w:pPr>
        <w:pageBreakBefore/>
        <w:jc w:val="right"/>
        <w:rPr>
          <w:b/>
          <w:i/>
          <w:sz w:val="26"/>
          <w:szCs w:val="26"/>
        </w:rPr>
      </w:pPr>
      <w:r>
        <w:rPr>
          <w:b/>
          <w:i/>
          <w:sz w:val="26"/>
          <w:szCs w:val="26"/>
        </w:rPr>
        <w:lastRenderedPageBreak/>
        <w:t>Приложение № 2.2: «Оценочная спецификация поставляемого Подрядчиком оборудования и материалов для выполнения строительно-монтажных работ волоконно-оптической линии связи - «ВОЛС ПС К - ПС БАМ-ПТФ».</w:t>
      </w:r>
    </w:p>
    <w:tbl>
      <w:tblPr>
        <w:tblpPr w:leftFromText="180" w:rightFromText="180" w:vertAnchor="text" w:tblpX="108"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6148"/>
        <w:gridCol w:w="699"/>
        <w:gridCol w:w="976"/>
        <w:gridCol w:w="4139"/>
        <w:gridCol w:w="970"/>
        <w:gridCol w:w="973"/>
      </w:tblGrid>
      <w:tr w:rsidR="006C6FA3" w:rsidTr="006C6FA3">
        <w:trPr>
          <w:trHeight w:val="706"/>
        </w:trPr>
        <w:tc>
          <w:tcPr>
            <w:tcW w:w="2912" w:type="pct"/>
            <w:gridSpan w:val="4"/>
            <w:tcBorders>
              <w:top w:val="single" w:sz="4" w:space="0" w:color="auto"/>
              <w:left w:val="single" w:sz="4" w:space="0" w:color="auto"/>
              <w:bottom w:val="single" w:sz="4" w:space="0" w:color="auto"/>
              <w:right w:val="single" w:sz="4" w:space="0" w:color="auto"/>
            </w:tcBorders>
            <w:vAlign w:val="center"/>
            <w:hideMark/>
          </w:tcPr>
          <w:p w:rsidR="006C6FA3" w:rsidRDefault="006C6FA3">
            <w:pPr>
              <w:ind w:left="360"/>
              <w:jc w:val="center"/>
              <w:rPr>
                <w:sz w:val="26"/>
                <w:szCs w:val="26"/>
              </w:rPr>
            </w:pPr>
            <w:r>
              <w:rPr>
                <w:sz w:val="26"/>
                <w:szCs w:val="26"/>
              </w:rPr>
              <w:t xml:space="preserve">Спецификация оборудования и </w:t>
            </w:r>
            <w:proofErr w:type="spellStart"/>
            <w:r>
              <w:rPr>
                <w:sz w:val="26"/>
                <w:szCs w:val="26"/>
              </w:rPr>
              <w:t>материаловцификация</w:t>
            </w:r>
            <w:proofErr w:type="spellEnd"/>
            <w:r>
              <w:rPr>
                <w:sz w:val="26"/>
                <w:szCs w:val="26"/>
              </w:rPr>
              <w:t xml:space="preserve"> оборудования</w:t>
            </w:r>
          </w:p>
        </w:tc>
        <w:tc>
          <w:tcPr>
            <w:tcW w:w="2088" w:type="pct"/>
            <w:gridSpan w:val="3"/>
            <w:tcBorders>
              <w:top w:val="single" w:sz="4" w:space="0" w:color="auto"/>
              <w:left w:val="single" w:sz="4" w:space="0" w:color="auto"/>
              <w:bottom w:val="single" w:sz="4" w:space="0" w:color="auto"/>
              <w:right w:val="single" w:sz="4" w:space="0" w:color="auto"/>
            </w:tcBorders>
            <w:vAlign w:val="center"/>
            <w:hideMark/>
          </w:tcPr>
          <w:p w:rsidR="006C6FA3" w:rsidRDefault="006C6FA3">
            <w:pPr>
              <w:jc w:val="center"/>
              <w:rPr>
                <w:sz w:val="26"/>
                <w:szCs w:val="26"/>
              </w:rPr>
            </w:pPr>
            <w:r>
              <w:rPr>
                <w:sz w:val="26"/>
                <w:szCs w:val="26"/>
              </w:rPr>
              <w:t>Предложение участника</w:t>
            </w:r>
          </w:p>
        </w:tc>
      </w:tr>
      <w:tr w:rsidR="006C6FA3" w:rsidTr="006C6FA3">
        <w:tc>
          <w:tcPr>
            <w:tcW w:w="226" w:type="pct"/>
            <w:tcBorders>
              <w:top w:val="single" w:sz="4" w:space="0" w:color="auto"/>
              <w:left w:val="single" w:sz="4" w:space="0" w:color="auto"/>
              <w:bottom w:val="single" w:sz="4" w:space="0" w:color="auto"/>
              <w:right w:val="single" w:sz="4" w:space="0" w:color="auto"/>
            </w:tcBorders>
            <w:vAlign w:val="center"/>
            <w:hideMark/>
          </w:tcPr>
          <w:p w:rsidR="006C6FA3" w:rsidRDefault="006C6FA3">
            <w:pPr>
              <w:jc w:val="both"/>
              <w:rPr>
                <w:sz w:val="26"/>
                <w:szCs w:val="26"/>
              </w:rPr>
            </w:pPr>
            <w:r>
              <w:rPr>
                <w:sz w:val="26"/>
                <w:szCs w:val="26"/>
              </w:rPr>
              <w:t>№ п/п</w:t>
            </w:r>
          </w:p>
        </w:tc>
        <w:tc>
          <w:tcPr>
            <w:tcW w:w="2111" w:type="pct"/>
            <w:tcBorders>
              <w:top w:val="single" w:sz="4" w:space="0" w:color="auto"/>
              <w:left w:val="single" w:sz="4" w:space="0" w:color="auto"/>
              <w:bottom w:val="single" w:sz="4" w:space="0" w:color="auto"/>
              <w:right w:val="single" w:sz="4" w:space="0" w:color="auto"/>
            </w:tcBorders>
            <w:vAlign w:val="center"/>
            <w:hideMark/>
          </w:tcPr>
          <w:p w:rsidR="006C6FA3" w:rsidRDefault="006C6FA3">
            <w:pPr>
              <w:ind w:left="360"/>
              <w:jc w:val="center"/>
              <w:rPr>
                <w:sz w:val="26"/>
                <w:szCs w:val="26"/>
              </w:rPr>
            </w:pPr>
            <w:r>
              <w:rPr>
                <w:sz w:val="26"/>
                <w:szCs w:val="26"/>
              </w:rPr>
              <w:t xml:space="preserve">Технические требования </w:t>
            </w:r>
          </w:p>
        </w:tc>
        <w:tc>
          <w:tcPr>
            <w:tcW w:w="240" w:type="pct"/>
            <w:tcBorders>
              <w:top w:val="single" w:sz="4" w:space="0" w:color="auto"/>
              <w:left w:val="single" w:sz="4" w:space="0" w:color="auto"/>
              <w:bottom w:val="single" w:sz="4" w:space="0" w:color="auto"/>
              <w:right w:val="single" w:sz="4" w:space="0" w:color="auto"/>
            </w:tcBorders>
            <w:vAlign w:val="center"/>
            <w:hideMark/>
          </w:tcPr>
          <w:p w:rsidR="006C6FA3" w:rsidRDefault="006C6FA3">
            <w:pPr>
              <w:jc w:val="both"/>
              <w:rPr>
                <w:sz w:val="26"/>
                <w:szCs w:val="26"/>
              </w:rPr>
            </w:pPr>
            <w:r>
              <w:rPr>
                <w:sz w:val="26"/>
                <w:szCs w:val="26"/>
              </w:rPr>
              <w:t>Ед. изм.</w:t>
            </w:r>
          </w:p>
        </w:tc>
        <w:tc>
          <w:tcPr>
            <w:tcW w:w="335" w:type="pct"/>
            <w:tcBorders>
              <w:top w:val="single" w:sz="4" w:space="0" w:color="auto"/>
              <w:left w:val="single" w:sz="4" w:space="0" w:color="auto"/>
              <w:bottom w:val="single" w:sz="4" w:space="0" w:color="auto"/>
              <w:right w:val="single" w:sz="4" w:space="0" w:color="auto"/>
            </w:tcBorders>
            <w:vAlign w:val="center"/>
            <w:hideMark/>
          </w:tcPr>
          <w:p w:rsidR="006C6FA3" w:rsidRDefault="006C6FA3">
            <w:pPr>
              <w:jc w:val="both"/>
              <w:rPr>
                <w:sz w:val="26"/>
                <w:szCs w:val="26"/>
              </w:rPr>
            </w:pPr>
            <w:r>
              <w:rPr>
                <w:sz w:val="26"/>
                <w:szCs w:val="26"/>
              </w:rPr>
              <w:t>Кол-во</w:t>
            </w:r>
          </w:p>
        </w:tc>
        <w:tc>
          <w:tcPr>
            <w:tcW w:w="1421" w:type="pct"/>
            <w:tcBorders>
              <w:top w:val="single" w:sz="4" w:space="0" w:color="auto"/>
              <w:left w:val="single" w:sz="4" w:space="0" w:color="auto"/>
              <w:bottom w:val="single" w:sz="4" w:space="0" w:color="auto"/>
              <w:right w:val="single" w:sz="4" w:space="0" w:color="auto"/>
            </w:tcBorders>
            <w:vAlign w:val="center"/>
            <w:hideMark/>
          </w:tcPr>
          <w:p w:rsidR="006C6FA3" w:rsidRDefault="006C6FA3">
            <w:pPr>
              <w:jc w:val="center"/>
              <w:rPr>
                <w:sz w:val="26"/>
                <w:szCs w:val="26"/>
              </w:rPr>
            </w:pPr>
            <w:r>
              <w:rPr>
                <w:sz w:val="26"/>
                <w:szCs w:val="26"/>
              </w:rPr>
              <w:t>Технические требования</w:t>
            </w:r>
          </w:p>
        </w:tc>
        <w:tc>
          <w:tcPr>
            <w:tcW w:w="333" w:type="pct"/>
            <w:tcBorders>
              <w:top w:val="single" w:sz="4" w:space="0" w:color="auto"/>
              <w:left w:val="single" w:sz="4" w:space="0" w:color="auto"/>
              <w:bottom w:val="single" w:sz="4" w:space="0" w:color="auto"/>
              <w:right w:val="single" w:sz="4" w:space="0" w:color="auto"/>
            </w:tcBorders>
            <w:vAlign w:val="center"/>
            <w:hideMark/>
          </w:tcPr>
          <w:p w:rsidR="006C6FA3" w:rsidRDefault="006C6FA3">
            <w:pPr>
              <w:jc w:val="both"/>
              <w:rPr>
                <w:sz w:val="26"/>
                <w:szCs w:val="26"/>
              </w:rPr>
            </w:pPr>
            <w:r>
              <w:rPr>
                <w:sz w:val="26"/>
                <w:szCs w:val="26"/>
              </w:rPr>
              <w:t>Ед. изм.</w:t>
            </w:r>
          </w:p>
        </w:tc>
        <w:tc>
          <w:tcPr>
            <w:tcW w:w="334" w:type="pct"/>
            <w:tcBorders>
              <w:top w:val="single" w:sz="4" w:space="0" w:color="auto"/>
              <w:left w:val="single" w:sz="4" w:space="0" w:color="auto"/>
              <w:bottom w:val="single" w:sz="4" w:space="0" w:color="auto"/>
              <w:right w:val="single" w:sz="4" w:space="0" w:color="auto"/>
            </w:tcBorders>
            <w:vAlign w:val="center"/>
            <w:hideMark/>
          </w:tcPr>
          <w:p w:rsidR="006C6FA3" w:rsidRDefault="006C6FA3">
            <w:pPr>
              <w:jc w:val="both"/>
              <w:rPr>
                <w:sz w:val="26"/>
                <w:szCs w:val="26"/>
              </w:rPr>
            </w:pPr>
            <w:r>
              <w:rPr>
                <w:sz w:val="26"/>
                <w:szCs w:val="26"/>
              </w:rPr>
              <w:t>Кол-во</w:t>
            </w: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jc w:val="both"/>
              <w:rPr>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rPr>
                <w:sz w:val="26"/>
                <w:szCs w:val="26"/>
              </w:rPr>
            </w:pPr>
            <w:r>
              <w:rPr>
                <w:sz w:val="26"/>
                <w:szCs w:val="26"/>
              </w:rPr>
              <w:t>Узлы крепления натяжные ( под следующие типы опор: ПС110-10 -1оп; У110-2+5 -3оп; ПБ35-3 – 1оп; ПУСБ35-1 – 7оп; У2М-2 – 4оп; У6М-1 – 1оп; УБ35-1 – 1 оп.).</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r>
              <w:rPr>
                <w:sz w:val="26"/>
                <w:szCs w:val="26"/>
              </w:rPr>
              <w:t>шт.</w:t>
            </w:r>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ind w:left="56"/>
              <w:jc w:val="center"/>
              <w:rPr>
                <w:sz w:val="26"/>
                <w:szCs w:val="26"/>
              </w:rPr>
            </w:pPr>
            <w:r>
              <w:rPr>
                <w:sz w:val="26"/>
                <w:szCs w:val="26"/>
              </w:rPr>
              <w:t>36</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jc w:val="both"/>
              <w:rPr>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ind w:left="29"/>
              <w:rPr>
                <w:sz w:val="26"/>
                <w:szCs w:val="26"/>
              </w:rPr>
            </w:pPr>
            <w:r>
              <w:rPr>
                <w:sz w:val="26"/>
                <w:szCs w:val="26"/>
              </w:rPr>
              <w:t>Зажим натяжной спиральный НСО-</w:t>
            </w:r>
            <w:proofErr w:type="spellStart"/>
            <w:r>
              <w:rPr>
                <w:sz w:val="26"/>
                <w:szCs w:val="26"/>
                <w:lang w:val="en-US"/>
              </w:rPr>
              <w:t>Dk</w:t>
            </w:r>
            <w:proofErr w:type="spellEnd"/>
            <w:r>
              <w:rPr>
                <w:sz w:val="26"/>
                <w:szCs w:val="26"/>
              </w:rPr>
              <w:t>П-01(….).</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proofErr w:type="spellStart"/>
            <w:r>
              <w:rPr>
                <w:sz w:val="26"/>
                <w:szCs w:val="26"/>
              </w:rPr>
              <w:t>шт</w:t>
            </w:r>
            <w:proofErr w:type="spellEnd"/>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ind w:left="56"/>
              <w:jc w:val="center"/>
              <w:rPr>
                <w:sz w:val="26"/>
                <w:szCs w:val="26"/>
              </w:rPr>
            </w:pPr>
            <w:r>
              <w:rPr>
                <w:sz w:val="26"/>
                <w:szCs w:val="26"/>
              </w:rPr>
              <w:t>40</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jc w:val="both"/>
              <w:rPr>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ind w:left="29"/>
              <w:rPr>
                <w:sz w:val="26"/>
                <w:szCs w:val="26"/>
              </w:rPr>
            </w:pPr>
            <w:r>
              <w:rPr>
                <w:sz w:val="26"/>
                <w:szCs w:val="26"/>
              </w:rPr>
              <w:t>Узел крепления поддерживающий(под следующие типы опор: ПБ110-6 – 10оп; У2М-2 – 1оп; ПБ35-3 – 14оп; ПС110-10 – 3оп ).</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proofErr w:type="spellStart"/>
            <w:r>
              <w:rPr>
                <w:sz w:val="26"/>
                <w:szCs w:val="26"/>
              </w:rPr>
              <w:t>шт</w:t>
            </w:r>
            <w:proofErr w:type="spellEnd"/>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ind w:left="56"/>
              <w:jc w:val="center"/>
              <w:rPr>
                <w:sz w:val="26"/>
                <w:szCs w:val="26"/>
              </w:rPr>
            </w:pPr>
            <w:r>
              <w:rPr>
                <w:sz w:val="26"/>
                <w:szCs w:val="26"/>
              </w:rPr>
              <w:t>28</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jc w:val="both"/>
              <w:rPr>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ind w:left="29"/>
              <w:rPr>
                <w:sz w:val="26"/>
                <w:szCs w:val="26"/>
              </w:rPr>
            </w:pPr>
            <w:r>
              <w:rPr>
                <w:sz w:val="26"/>
                <w:szCs w:val="26"/>
              </w:rPr>
              <w:t>Поддерживающий зажим ПСО-</w:t>
            </w:r>
            <w:proofErr w:type="spellStart"/>
            <w:r>
              <w:rPr>
                <w:sz w:val="26"/>
                <w:szCs w:val="26"/>
                <w:lang w:val="en-US"/>
              </w:rPr>
              <w:t>Dk</w:t>
            </w:r>
            <w:proofErr w:type="spellEnd"/>
            <w:r>
              <w:rPr>
                <w:sz w:val="26"/>
                <w:szCs w:val="26"/>
              </w:rPr>
              <w:t>-04.</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proofErr w:type="spellStart"/>
            <w:r>
              <w:rPr>
                <w:sz w:val="26"/>
                <w:szCs w:val="26"/>
              </w:rPr>
              <w:t>шт</w:t>
            </w:r>
            <w:proofErr w:type="spellEnd"/>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ind w:left="56"/>
              <w:jc w:val="center"/>
              <w:rPr>
                <w:sz w:val="26"/>
                <w:szCs w:val="26"/>
              </w:rPr>
            </w:pPr>
            <w:r>
              <w:rPr>
                <w:sz w:val="26"/>
                <w:szCs w:val="26"/>
              </w:rPr>
              <w:t>28</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jc w:val="both"/>
              <w:rPr>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ind w:left="29"/>
              <w:rPr>
                <w:sz w:val="26"/>
                <w:szCs w:val="26"/>
              </w:rPr>
            </w:pPr>
            <w:r>
              <w:rPr>
                <w:sz w:val="26"/>
                <w:szCs w:val="26"/>
              </w:rPr>
              <w:t xml:space="preserve">Зажим </w:t>
            </w:r>
            <w:proofErr w:type="spellStart"/>
            <w:r>
              <w:rPr>
                <w:sz w:val="26"/>
                <w:szCs w:val="26"/>
              </w:rPr>
              <w:t>шлейфовый</w:t>
            </w:r>
            <w:proofErr w:type="spellEnd"/>
            <w:r>
              <w:rPr>
                <w:sz w:val="26"/>
                <w:szCs w:val="26"/>
              </w:rPr>
              <w:t xml:space="preserve"> ЗКШ2.</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proofErr w:type="spellStart"/>
            <w:r>
              <w:rPr>
                <w:sz w:val="26"/>
                <w:szCs w:val="26"/>
              </w:rPr>
              <w:t>шт</w:t>
            </w:r>
            <w:proofErr w:type="spellEnd"/>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ind w:left="56"/>
              <w:jc w:val="center"/>
              <w:rPr>
                <w:sz w:val="26"/>
                <w:szCs w:val="26"/>
              </w:rPr>
            </w:pPr>
            <w:r>
              <w:rPr>
                <w:sz w:val="26"/>
                <w:szCs w:val="26"/>
              </w:rPr>
              <w:t>18</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jc w:val="both"/>
              <w:rPr>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ind w:left="29"/>
              <w:rPr>
                <w:sz w:val="26"/>
                <w:szCs w:val="26"/>
              </w:rPr>
            </w:pPr>
            <w:r>
              <w:rPr>
                <w:sz w:val="26"/>
                <w:szCs w:val="26"/>
              </w:rPr>
              <w:t>Скоба СК-7-1а.</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proofErr w:type="spellStart"/>
            <w:r>
              <w:rPr>
                <w:sz w:val="26"/>
                <w:szCs w:val="26"/>
              </w:rPr>
              <w:t>шт</w:t>
            </w:r>
            <w:proofErr w:type="spellEnd"/>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ind w:left="56"/>
              <w:jc w:val="center"/>
              <w:rPr>
                <w:sz w:val="26"/>
                <w:szCs w:val="26"/>
              </w:rPr>
            </w:pPr>
            <w:r>
              <w:rPr>
                <w:sz w:val="26"/>
                <w:szCs w:val="26"/>
              </w:rPr>
              <w:t>96</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jc w:val="both"/>
              <w:rPr>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ind w:left="29"/>
              <w:rPr>
                <w:sz w:val="26"/>
                <w:szCs w:val="26"/>
              </w:rPr>
            </w:pPr>
            <w:r>
              <w:rPr>
                <w:sz w:val="26"/>
                <w:szCs w:val="26"/>
              </w:rPr>
              <w:t>Звено промежуточное ПР-7-6.</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proofErr w:type="spellStart"/>
            <w:r>
              <w:rPr>
                <w:sz w:val="26"/>
                <w:szCs w:val="26"/>
              </w:rPr>
              <w:t>шт</w:t>
            </w:r>
            <w:proofErr w:type="spellEnd"/>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ind w:left="56"/>
              <w:jc w:val="center"/>
              <w:rPr>
                <w:sz w:val="26"/>
                <w:szCs w:val="26"/>
              </w:rPr>
            </w:pPr>
            <w:r>
              <w:rPr>
                <w:sz w:val="26"/>
                <w:szCs w:val="26"/>
              </w:rPr>
              <w:t>68</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jc w:val="both"/>
              <w:rPr>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ind w:left="29"/>
              <w:rPr>
                <w:sz w:val="26"/>
                <w:szCs w:val="26"/>
              </w:rPr>
            </w:pPr>
            <w:r>
              <w:rPr>
                <w:sz w:val="26"/>
                <w:szCs w:val="26"/>
              </w:rPr>
              <w:t>Скоба СКД-10-1 .</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r>
              <w:rPr>
                <w:sz w:val="26"/>
                <w:szCs w:val="26"/>
              </w:rPr>
              <w:t>шт.</w:t>
            </w:r>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ind w:left="56"/>
              <w:jc w:val="center"/>
              <w:rPr>
                <w:sz w:val="26"/>
                <w:szCs w:val="26"/>
              </w:rPr>
            </w:pPr>
            <w:r>
              <w:rPr>
                <w:sz w:val="26"/>
                <w:szCs w:val="26"/>
              </w:rPr>
              <w:t>40</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ind w:left="56"/>
              <w:jc w:val="center"/>
              <w:rPr>
                <w:sz w:val="26"/>
                <w:szCs w:val="26"/>
              </w:rPr>
            </w:pP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tabs>
                <w:tab w:val="left" w:pos="641"/>
              </w:tabs>
              <w:jc w:val="both"/>
              <w:rPr>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rPr>
                <w:sz w:val="26"/>
                <w:szCs w:val="26"/>
              </w:rPr>
            </w:pPr>
            <w:r>
              <w:t xml:space="preserve">Звено промежуточное регулируемое </w:t>
            </w:r>
            <w:r>
              <w:rPr>
                <w:sz w:val="26"/>
                <w:szCs w:val="26"/>
              </w:rPr>
              <w:t>ПРР-7-1 .</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r>
              <w:rPr>
                <w:sz w:val="26"/>
                <w:szCs w:val="26"/>
              </w:rPr>
              <w:t>шт.</w:t>
            </w:r>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r>
              <w:rPr>
                <w:sz w:val="26"/>
                <w:szCs w:val="26"/>
              </w:rPr>
              <w:t>40</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jc w:val="center"/>
              <w:rPr>
                <w:sz w:val="26"/>
                <w:szCs w:val="26"/>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jc w:val="center"/>
              <w:rPr>
                <w:sz w:val="26"/>
                <w:szCs w:val="26"/>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jc w:val="center"/>
              <w:rPr>
                <w:sz w:val="26"/>
                <w:szCs w:val="26"/>
              </w:rPr>
            </w:pP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rPr>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rPr>
                <w:sz w:val="26"/>
                <w:szCs w:val="26"/>
              </w:rPr>
            </w:pPr>
            <w:r>
              <w:rPr>
                <w:sz w:val="26"/>
                <w:szCs w:val="26"/>
              </w:rPr>
              <w:t>Звено промежуточное монтажное ПТМ-7-2 .</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proofErr w:type="spellStart"/>
            <w:r>
              <w:rPr>
                <w:sz w:val="26"/>
                <w:szCs w:val="26"/>
              </w:rPr>
              <w:t>шт</w:t>
            </w:r>
            <w:proofErr w:type="spellEnd"/>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r>
              <w:rPr>
                <w:sz w:val="26"/>
                <w:szCs w:val="26"/>
              </w:rPr>
              <w:t>40</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jc w:val="center"/>
              <w:rPr>
                <w:sz w:val="26"/>
                <w:szCs w:val="26"/>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jc w:val="center"/>
              <w:rPr>
                <w:sz w:val="26"/>
                <w:szCs w:val="26"/>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jc w:val="center"/>
              <w:rPr>
                <w:sz w:val="26"/>
                <w:szCs w:val="26"/>
              </w:rPr>
            </w:pP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jc w:val="both"/>
              <w:rPr>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rPr>
                <w:sz w:val="26"/>
                <w:szCs w:val="26"/>
              </w:rPr>
            </w:pPr>
            <w:r>
              <w:rPr>
                <w:sz w:val="26"/>
                <w:szCs w:val="26"/>
              </w:rPr>
              <w:t>Штанга анкерная.</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proofErr w:type="spellStart"/>
            <w:r>
              <w:rPr>
                <w:sz w:val="26"/>
                <w:szCs w:val="26"/>
              </w:rPr>
              <w:t>шт</w:t>
            </w:r>
            <w:proofErr w:type="spellEnd"/>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ind w:left="360" w:hanging="314"/>
              <w:jc w:val="center"/>
              <w:rPr>
                <w:sz w:val="26"/>
                <w:szCs w:val="26"/>
              </w:rPr>
            </w:pPr>
            <w:r>
              <w:rPr>
                <w:sz w:val="26"/>
                <w:szCs w:val="26"/>
              </w:rPr>
              <w:t>3</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ind w:left="360" w:hanging="314"/>
              <w:jc w:val="center"/>
              <w:rPr>
                <w:sz w:val="26"/>
                <w:szCs w:val="26"/>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ind w:left="360" w:hanging="314"/>
              <w:jc w:val="center"/>
              <w:rPr>
                <w:sz w:val="26"/>
                <w:szCs w:val="26"/>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ind w:left="360" w:hanging="314"/>
              <w:jc w:val="center"/>
              <w:rPr>
                <w:sz w:val="26"/>
                <w:szCs w:val="26"/>
              </w:rPr>
            </w:pP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jc w:val="both"/>
              <w:rPr>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rPr>
                <w:sz w:val="26"/>
                <w:szCs w:val="26"/>
              </w:rPr>
            </w:pPr>
            <w:r>
              <w:rPr>
                <w:sz w:val="26"/>
                <w:szCs w:val="26"/>
              </w:rPr>
              <w:t xml:space="preserve">Муфта оптическая МТОК-К6. </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proofErr w:type="spellStart"/>
            <w:r>
              <w:rPr>
                <w:sz w:val="26"/>
                <w:szCs w:val="26"/>
              </w:rPr>
              <w:t>шт</w:t>
            </w:r>
            <w:proofErr w:type="spellEnd"/>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ind w:left="-96" w:firstLine="142"/>
              <w:jc w:val="center"/>
              <w:rPr>
                <w:sz w:val="26"/>
                <w:szCs w:val="26"/>
              </w:rPr>
            </w:pPr>
            <w:r>
              <w:rPr>
                <w:sz w:val="26"/>
                <w:szCs w:val="26"/>
              </w:rPr>
              <w:t>3</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ind w:left="-96" w:firstLine="142"/>
              <w:jc w:val="center"/>
              <w:rPr>
                <w:sz w:val="26"/>
                <w:szCs w:val="26"/>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ind w:left="-96" w:firstLine="142"/>
              <w:jc w:val="center"/>
              <w:rPr>
                <w:sz w:val="26"/>
                <w:szCs w:val="26"/>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ind w:left="-96" w:firstLine="142"/>
              <w:jc w:val="center"/>
              <w:rPr>
                <w:sz w:val="26"/>
                <w:szCs w:val="26"/>
              </w:rPr>
            </w:pP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jc w:val="both"/>
              <w:rPr>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ind w:left="29"/>
              <w:jc w:val="both"/>
              <w:rPr>
                <w:sz w:val="26"/>
                <w:szCs w:val="26"/>
              </w:rPr>
            </w:pPr>
            <w:r>
              <w:rPr>
                <w:sz w:val="26"/>
                <w:szCs w:val="26"/>
              </w:rPr>
              <w:t xml:space="preserve">Кросс ШКОС-M-1U/2-16-FC </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proofErr w:type="spellStart"/>
            <w:r>
              <w:rPr>
                <w:sz w:val="26"/>
                <w:szCs w:val="26"/>
              </w:rPr>
              <w:t>шт</w:t>
            </w:r>
            <w:proofErr w:type="spellEnd"/>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ind w:left="360" w:hanging="336"/>
              <w:jc w:val="center"/>
              <w:rPr>
                <w:sz w:val="26"/>
                <w:szCs w:val="26"/>
              </w:rPr>
            </w:pPr>
            <w:r>
              <w:rPr>
                <w:sz w:val="26"/>
                <w:szCs w:val="26"/>
              </w:rPr>
              <w:t>2</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ind w:left="360" w:hanging="336"/>
              <w:jc w:val="center"/>
              <w:rPr>
                <w:sz w:val="26"/>
                <w:szCs w:val="26"/>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ind w:left="360" w:hanging="336"/>
              <w:jc w:val="center"/>
              <w:rPr>
                <w:sz w:val="26"/>
                <w:szCs w:val="26"/>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ind w:left="360" w:hanging="336"/>
              <w:jc w:val="center"/>
              <w:rPr>
                <w:sz w:val="26"/>
                <w:szCs w:val="26"/>
              </w:rPr>
            </w:pP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jc w:val="both"/>
              <w:rPr>
                <w:bCs/>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ind w:left="29"/>
              <w:jc w:val="both"/>
              <w:rPr>
                <w:bCs/>
                <w:sz w:val="26"/>
                <w:szCs w:val="26"/>
              </w:rPr>
            </w:pPr>
            <w:r>
              <w:rPr>
                <w:bCs/>
                <w:sz w:val="26"/>
                <w:szCs w:val="26"/>
              </w:rPr>
              <w:t xml:space="preserve">Кросс ШКОН -СТ/2 -16 –FC </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bCs/>
                <w:sz w:val="26"/>
                <w:szCs w:val="26"/>
              </w:rPr>
            </w:pPr>
            <w:proofErr w:type="spellStart"/>
            <w:r>
              <w:rPr>
                <w:sz w:val="26"/>
                <w:szCs w:val="26"/>
              </w:rPr>
              <w:t>шт</w:t>
            </w:r>
            <w:proofErr w:type="spellEnd"/>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ind w:left="360"/>
              <w:jc w:val="center"/>
              <w:rPr>
                <w:bCs/>
                <w:sz w:val="26"/>
                <w:szCs w:val="26"/>
              </w:rPr>
            </w:pPr>
            <w:r>
              <w:rPr>
                <w:bCs/>
                <w:sz w:val="26"/>
                <w:szCs w:val="26"/>
              </w:rPr>
              <w:t>1</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bCs/>
                <w:sz w:val="26"/>
                <w:szCs w:val="26"/>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bCs/>
                <w:sz w:val="26"/>
                <w:szCs w:val="26"/>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bCs/>
                <w:sz w:val="26"/>
                <w:szCs w:val="26"/>
              </w:rPr>
            </w:pP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jc w:val="both"/>
              <w:rPr>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ind w:left="29"/>
              <w:jc w:val="both"/>
              <w:rPr>
                <w:sz w:val="26"/>
                <w:szCs w:val="26"/>
              </w:rPr>
            </w:pPr>
            <w:r>
              <w:rPr>
                <w:sz w:val="26"/>
                <w:szCs w:val="26"/>
              </w:rPr>
              <w:t>Кабель ОКЛЖ-Т-01-6-16-10/125-0.36/0.22-3.5/18-30.0 (или аналог)</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r>
              <w:rPr>
                <w:sz w:val="26"/>
                <w:szCs w:val="26"/>
              </w:rPr>
              <w:t>м.</w:t>
            </w:r>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ind w:left="32"/>
              <w:jc w:val="center"/>
              <w:rPr>
                <w:sz w:val="26"/>
                <w:szCs w:val="26"/>
              </w:rPr>
            </w:pPr>
            <w:r>
              <w:rPr>
                <w:sz w:val="26"/>
                <w:szCs w:val="26"/>
              </w:rPr>
              <w:t>7970</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ind w:left="32"/>
              <w:jc w:val="center"/>
              <w:rPr>
                <w:sz w:val="26"/>
                <w:szCs w:val="26"/>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ind w:left="32"/>
              <w:jc w:val="center"/>
              <w:rPr>
                <w:sz w:val="26"/>
                <w:szCs w:val="26"/>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ind w:left="32"/>
              <w:jc w:val="center"/>
              <w:rPr>
                <w:sz w:val="26"/>
                <w:szCs w:val="26"/>
              </w:rPr>
            </w:pP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jc w:val="both"/>
              <w:rPr>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ind w:left="29"/>
              <w:jc w:val="both"/>
              <w:rPr>
                <w:sz w:val="26"/>
                <w:szCs w:val="26"/>
              </w:rPr>
            </w:pPr>
            <w:r>
              <w:rPr>
                <w:sz w:val="26"/>
                <w:szCs w:val="26"/>
              </w:rPr>
              <w:t xml:space="preserve">Шкаф монтажный 19” напольный 1983*600*800, стеклянная дверь, регулируемые ножки, заземление, полки 4 </w:t>
            </w:r>
            <w:proofErr w:type="spellStart"/>
            <w:r>
              <w:rPr>
                <w:sz w:val="26"/>
                <w:szCs w:val="26"/>
              </w:rPr>
              <w:t>шт</w:t>
            </w:r>
            <w:proofErr w:type="spellEnd"/>
            <w:r>
              <w:rPr>
                <w:sz w:val="26"/>
                <w:szCs w:val="26"/>
              </w:rPr>
              <w:t xml:space="preserve">, вентиляционный блок, щеточный ввод кабеля. </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r>
              <w:rPr>
                <w:sz w:val="26"/>
                <w:szCs w:val="26"/>
              </w:rPr>
              <w:t>шт.</w:t>
            </w:r>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ind w:left="360"/>
              <w:jc w:val="center"/>
              <w:rPr>
                <w:sz w:val="26"/>
                <w:szCs w:val="26"/>
              </w:rPr>
            </w:pPr>
            <w:r>
              <w:rPr>
                <w:sz w:val="26"/>
                <w:szCs w:val="26"/>
              </w:rPr>
              <w:t>2</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sz w:val="26"/>
                <w:szCs w:val="26"/>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sz w:val="26"/>
                <w:szCs w:val="26"/>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sz w:val="26"/>
                <w:szCs w:val="26"/>
              </w:rPr>
            </w:pP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jc w:val="both"/>
              <w:rPr>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ind w:left="29"/>
              <w:jc w:val="both"/>
              <w:rPr>
                <w:sz w:val="26"/>
                <w:szCs w:val="26"/>
              </w:rPr>
            </w:pPr>
            <w:r>
              <w:rPr>
                <w:sz w:val="26"/>
                <w:szCs w:val="26"/>
              </w:rPr>
              <w:t xml:space="preserve">DVG-5004S - </w:t>
            </w:r>
            <w:proofErr w:type="spellStart"/>
            <w:r>
              <w:rPr>
                <w:sz w:val="26"/>
                <w:szCs w:val="26"/>
              </w:rPr>
              <w:t>VoIP</w:t>
            </w:r>
            <w:proofErr w:type="spellEnd"/>
            <w:r>
              <w:rPr>
                <w:sz w:val="26"/>
                <w:szCs w:val="26"/>
              </w:rPr>
              <w:t>-шлюз.</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r>
              <w:rPr>
                <w:sz w:val="26"/>
                <w:szCs w:val="26"/>
              </w:rPr>
              <w:t>шт.</w:t>
            </w:r>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ind w:left="360"/>
              <w:jc w:val="center"/>
              <w:rPr>
                <w:sz w:val="26"/>
                <w:szCs w:val="26"/>
              </w:rPr>
            </w:pPr>
            <w:r>
              <w:rPr>
                <w:sz w:val="26"/>
                <w:szCs w:val="26"/>
              </w:rPr>
              <w:t>1</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sz w:val="26"/>
                <w:szCs w:val="26"/>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sz w:val="26"/>
                <w:szCs w:val="26"/>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sz w:val="26"/>
                <w:szCs w:val="26"/>
              </w:rPr>
            </w:pP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jc w:val="both"/>
              <w:rPr>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ind w:left="29"/>
              <w:jc w:val="both"/>
              <w:rPr>
                <w:sz w:val="26"/>
                <w:szCs w:val="26"/>
              </w:rPr>
            </w:pPr>
            <w:proofErr w:type="spellStart"/>
            <w:r>
              <w:rPr>
                <w:sz w:val="26"/>
                <w:szCs w:val="26"/>
              </w:rPr>
              <w:t>Медиаконвертер</w:t>
            </w:r>
            <w:proofErr w:type="spellEnd"/>
            <w:r>
              <w:rPr>
                <w:sz w:val="26"/>
                <w:szCs w:val="26"/>
              </w:rPr>
              <w:t xml:space="preserve"> с SFP модулем D-LINK DMC-920 </w:t>
            </w:r>
            <w:r>
              <w:rPr>
                <w:sz w:val="26"/>
                <w:szCs w:val="26"/>
                <w:lang w:val="en-US"/>
              </w:rPr>
              <w:t>R</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r>
              <w:rPr>
                <w:sz w:val="26"/>
                <w:szCs w:val="26"/>
              </w:rPr>
              <w:t>шт.</w:t>
            </w:r>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ind w:left="360"/>
              <w:jc w:val="center"/>
              <w:rPr>
                <w:sz w:val="26"/>
                <w:szCs w:val="26"/>
                <w:lang w:val="en-US"/>
              </w:rPr>
            </w:pPr>
            <w:r>
              <w:rPr>
                <w:sz w:val="26"/>
                <w:szCs w:val="26"/>
                <w:lang w:val="en-US"/>
              </w:rPr>
              <w:t>1</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sz w:val="26"/>
                <w:szCs w:val="26"/>
                <w:lang w:val="en-US"/>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sz w:val="26"/>
                <w:szCs w:val="26"/>
                <w:lang w:val="en-US"/>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sz w:val="26"/>
                <w:szCs w:val="26"/>
                <w:lang w:val="en-US"/>
              </w:rPr>
            </w:pP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jc w:val="both"/>
              <w:rPr>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ind w:left="29"/>
              <w:jc w:val="both"/>
              <w:rPr>
                <w:sz w:val="26"/>
                <w:szCs w:val="26"/>
              </w:rPr>
            </w:pPr>
            <w:proofErr w:type="spellStart"/>
            <w:r>
              <w:rPr>
                <w:sz w:val="26"/>
                <w:szCs w:val="26"/>
              </w:rPr>
              <w:t>Медиаконвертер</w:t>
            </w:r>
            <w:proofErr w:type="spellEnd"/>
            <w:r>
              <w:rPr>
                <w:sz w:val="26"/>
                <w:szCs w:val="26"/>
              </w:rPr>
              <w:t xml:space="preserve"> с SFP модулем D-LINK DMC-920 </w:t>
            </w:r>
            <w:r>
              <w:rPr>
                <w:sz w:val="26"/>
                <w:szCs w:val="26"/>
                <w:lang w:val="en-US"/>
              </w:rPr>
              <w:t>T</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r>
              <w:rPr>
                <w:sz w:val="26"/>
                <w:szCs w:val="26"/>
              </w:rPr>
              <w:t>шт.</w:t>
            </w:r>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ind w:left="360"/>
              <w:jc w:val="center"/>
              <w:rPr>
                <w:sz w:val="26"/>
                <w:szCs w:val="26"/>
                <w:lang w:val="en-US"/>
              </w:rPr>
            </w:pPr>
            <w:r>
              <w:rPr>
                <w:sz w:val="26"/>
                <w:szCs w:val="26"/>
                <w:lang w:val="en-US"/>
              </w:rPr>
              <w:t>1</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sz w:val="26"/>
                <w:szCs w:val="26"/>
                <w:lang w:val="en-US"/>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sz w:val="26"/>
                <w:szCs w:val="26"/>
                <w:lang w:val="en-US"/>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sz w:val="26"/>
                <w:szCs w:val="26"/>
                <w:lang w:val="en-US"/>
              </w:rPr>
            </w:pP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jc w:val="both"/>
              <w:rPr>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ind w:left="29"/>
              <w:jc w:val="both"/>
              <w:rPr>
                <w:sz w:val="26"/>
                <w:szCs w:val="26"/>
                <w:lang w:val="en-US"/>
              </w:rPr>
            </w:pPr>
            <w:proofErr w:type="spellStart"/>
            <w:r>
              <w:rPr>
                <w:sz w:val="26"/>
                <w:szCs w:val="26"/>
              </w:rPr>
              <w:t>Патч</w:t>
            </w:r>
            <w:proofErr w:type="spellEnd"/>
            <w:r>
              <w:rPr>
                <w:sz w:val="26"/>
                <w:szCs w:val="26"/>
                <w:lang w:val="en-US"/>
              </w:rPr>
              <w:t>-</w:t>
            </w:r>
            <w:r>
              <w:rPr>
                <w:sz w:val="26"/>
                <w:szCs w:val="26"/>
              </w:rPr>
              <w:t>корд</w:t>
            </w:r>
            <w:r>
              <w:rPr>
                <w:sz w:val="26"/>
                <w:szCs w:val="26"/>
                <w:lang w:val="en-US"/>
              </w:rPr>
              <w:t xml:space="preserve"> SM 9.5(8.3)/125 SC-FC, Duplex, 3</w:t>
            </w:r>
            <w:r>
              <w:rPr>
                <w:sz w:val="26"/>
                <w:szCs w:val="26"/>
              </w:rPr>
              <w:t>м</w:t>
            </w:r>
            <w:r>
              <w:rPr>
                <w:sz w:val="26"/>
                <w:szCs w:val="26"/>
                <w:lang w:val="en-US"/>
              </w:rPr>
              <w:t>.</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r>
              <w:rPr>
                <w:sz w:val="26"/>
                <w:szCs w:val="26"/>
              </w:rPr>
              <w:t>шт.</w:t>
            </w:r>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ind w:left="360"/>
              <w:jc w:val="center"/>
              <w:rPr>
                <w:sz w:val="26"/>
                <w:szCs w:val="26"/>
                <w:lang w:val="en-US"/>
              </w:rPr>
            </w:pPr>
            <w:r>
              <w:rPr>
                <w:sz w:val="26"/>
                <w:szCs w:val="26"/>
                <w:lang w:val="en-US"/>
              </w:rPr>
              <w:t>2</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sz w:val="26"/>
                <w:szCs w:val="26"/>
                <w:lang w:val="en-US"/>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sz w:val="26"/>
                <w:szCs w:val="26"/>
                <w:lang w:val="en-US"/>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sz w:val="26"/>
                <w:szCs w:val="26"/>
                <w:lang w:val="en-US"/>
              </w:rPr>
            </w:pP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jc w:val="both"/>
              <w:rPr>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ind w:left="29"/>
              <w:jc w:val="both"/>
              <w:rPr>
                <w:sz w:val="26"/>
                <w:szCs w:val="26"/>
              </w:rPr>
            </w:pPr>
            <w:r>
              <w:rPr>
                <w:sz w:val="26"/>
                <w:szCs w:val="26"/>
              </w:rPr>
              <w:t>Управляемый L2 коммутатор с 24 портами 10/100Base-TX и 2 слотами расширения DES-3026</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r>
              <w:rPr>
                <w:sz w:val="26"/>
                <w:szCs w:val="26"/>
              </w:rPr>
              <w:t>шт.</w:t>
            </w:r>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ind w:left="360"/>
              <w:jc w:val="center"/>
              <w:rPr>
                <w:sz w:val="26"/>
                <w:szCs w:val="26"/>
              </w:rPr>
            </w:pPr>
            <w:r>
              <w:rPr>
                <w:sz w:val="26"/>
                <w:szCs w:val="26"/>
              </w:rPr>
              <w:t>1</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sz w:val="26"/>
                <w:szCs w:val="26"/>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sz w:val="26"/>
                <w:szCs w:val="26"/>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sz w:val="26"/>
                <w:szCs w:val="26"/>
              </w:rPr>
            </w:pPr>
          </w:p>
        </w:tc>
      </w:tr>
      <w:tr w:rsidR="006C6FA3" w:rsidTr="006C6FA3">
        <w:tc>
          <w:tcPr>
            <w:tcW w:w="226" w:type="pct"/>
            <w:tcBorders>
              <w:top w:val="single" w:sz="4" w:space="0" w:color="auto"/>
              <w:left w:val="single" w:sz="4" w:space="0" w:color="auto"/>
              <w:bottom w:val="single" w:sz="4" w:space="0" w:color="auto"/>
              <w:right w:val="single" w:sz="4" w:space="0" w:color="auto"/>
            </w:tcBorders>
          </w:tcPr>
          <w:p w:rsidR="006C6FA3" w:rsidRDefault="006C6FA3" w:rsidP="00286F75">
            <w:pPr>
              <w:numPr>
                <w:ilvl w:val="0"/>
                <w:numId w:val="1"/>
              </w:numPr>
              <w:jc w:val="both"/>
              <w:rPr>
                <w:sz w:val="26"/>
                <w:szCs w:val="26"/>
              </w:rPr>
            </w:pPr>
          </w:p>
        </w:tc>
        <w:tc>
          <w:tcPr>
            <w:tcW w:w="2111" w:type="pct"/>
            <w:tcBorders>
              <w:top w:val="single" w:sz="4" w:space="0" w:color="auto"/>
              <w:left w:val="single" w:sz="4" w:space="0" w:color="auto"/>
              <w:bottom w:val="single" w:sz="4" w:space="0" w:color="auto"/>
              <w:right w:val="single" w:sz="4" w:space="0" w:color="auto"/>
            </w:tcBorders>
            <w:hideMark/>
          </w:tcPr>
          <w:p w:rsidR="006C6FA3" w:rsidRDefault="006C6FA3">
            <w:pPr>
              <w:ind w:left="29"/>
              <w:jc w:val="both"/>
              <w:rPr>
                <w:sz w:val="26"/>
                <w:szCs w:val="26"/>
              </w:rPr>
            </w:pPr>
            <w:r>
              <w:rPr>
                <w:sz w:val="26"/>
                <w:szCs w:val="26"/>
              </w:rPr>
              <w:t xml:space="preserve">Проводной телефон </w:t>
            </w:r>
            <w:proofErr w:type="spellStart"/>
            <w:r>
              <w:rPr>
                <w:sz w:val="26"/>
                <w:szCs w:val="26"/>
              </w:rPr>
              <w:t>Panasonic</w:t>
            </w:r>
            <w:proofErr w:type="spellEnd"/>
            <w:r>
              <w:rPr>
                <w:sz w:val="26"/>
                <w:szCs w:val="26"/>
              </w:rPr>
              <w:t xml:space="preserve"> KX-TS2350RUВ.</w:t>
            </w:r>
          </w:p>
        </w:tc>
        <w:tc>
          <w:tcPr>
            <w:tcW w:w="240" w:type="pct"/>
            <w:tcBorders>
              <w:top w:val="single" w:sz="4" w:space="0" w:color="auto"/>
              <w:left w:val="single" w:sz="4" w:space="0" w:color="auto"/>
              <w:bottom w:val="single" w:sz="4" w:space="0" w:color="auto"/>
              <w:right w:val="single" w:sz="4" w:space="0" w:color="auto"/>
            </w:tcBorders>
            <w:hideMark/>
          </w:tcPr>
          <w:p w:rsidR="006C6FA3" w:rsidRDefault="006C6FA3">
            <w:pPr>
              <w:jc w:val="center"/>
              <w:rPr>
                <w:sz w:val="26"/>
                <w:szCs w:val="26"/>
              </w:rPr>
            </w:pPr>
            <w:r>
              <w:rPr>
                <w:sz w:val="26"/>
                <w:szCs w:val="26"/>
              </w:rPr>
              <w:t>шт.</w:t>
            </w:r>
          </w:p>
        </w:tc>
        <w:tc>
          <w:tcPr>
            <w:tcW w:w="335" w:type="pct"/>
            <w:tcBorders>
              <w:top w:val="single" w:sz="4" w:space="0" w:color="auto"/>
              <w:left w:val="single" w:sz="4" w:space="0" w:color="auto"/>
              <w:bottom w:val="single" w:sz="4" w:space="0" w:color="auto"/>
              <w:right w:val="single" w:sz="4" w:space="0" w:color="auto"/>
            </w:tcBorders>
            <w:hideMark/>
          </w:tcPr>
          <w:p w:rsidR="006C6FA3" w:rsidRDefault="006C6FA3">
            <w:pPr>
              <w:ind w:left="360"/>
              <w:jc w:val="center"/>
              <w:rPr>
                <w:sz w:val="26"/>
                <w:szCs w:val="26"/>
              </w:rPr>
            </w:pPr>
            <w:r>
              <w:rPr>
                <w:sz w:val="26"/>
                <w:szCs w:val="26"/>
              </w:rPr>
              <w:t>1</w:t>
            </w:r>
          </w:p>
        </w:tc>
        <w:tc>
          <w:tcPr>
            <w:tcW w:w="1421"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sz w:val="26"/>
                <w:szCs w:val="26"/>
              </w:rPr>
            </w:pPr>
          </w:p>
        </w:tc>
        <w:tc>
          <w:tcPr>
            <w:tcW w:w="333"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sz w:val="26"/>
                <w:szCs w:val="26"/>
              </w:rPr>
            </w:pPr>
          </w:p>
        </w:tc>
        <w:tc>
          <w:tcPr>
            <w:tcW w:w="334" w:type="pct"/>
            <w:tcBorders>
              <w:top w:val="single" w:sz="4" w:space="0" w:color="auto"/>
              <w:left w:val="single" w:sz="4" w:space="0" w:color="auto"/>
              <w:bottom w:val="single" w:sz="4" w:space="0" w:color="auto"/>
              <w:right w:val="single" w:sz="4" w:space="0" w:color="auto"/>
            </w:tcBorders>
          </w:tcPr>
          <w:p w:rsidR="006C6FA3" w:rsidRDefault="006C6FA3">
            <w:pPr>
              <w:ind w:left="360"/>
              <w:jc w:val="center"/>
              <w:rPr>
                <w:sz w:val="26"/>
                <w:szCs w:val="26"/>
              </w:rPr>
            </w:pPr>
          </w:p>
        </w:tc>
      </w:tr>
    </w:tbl>
    <w:p w:rsidR="006C6FA3" w:rsidRDefault="006C6FA3" w:rsidP="006C6FA3">
      <w:pPr>
        <w:jc w:val="both"/>
      </w:pPr>
    </w:p>
    <w:p w:rsidR="006C6FA3" w:rsidRDefault="006C6FA3" w:rsidP="006C6FA3">
      <w:pPr>
        <w:ind w:firstLine="708"/>
        <w:jc w:val="both"/>
        <w:rPr>
          <w:sz w:val="26"/>
          <w:szCs w:val="26"/>
        </w:rPr>
      </w:pPr>
      <w:r>
        <w:rPr>
          <w:sz w:val="26"/>
          <w:szCs w:val="26"/>
        </w:rPr>
        <w:t>Настоящая спецификация является оценочной для определения предварительных затрат на материалы, кабельную продукцию и СМР при подаче коммерческих предложений участником конкурсных процедур.</w:t>
      </w:r>
    </w:p>
    <w:p w:rsidR="006C6FA3" w:rsidRDefault="006C6FA3" w:rsidP="006C6FA3">
      <w:pPr>
        <w:ind w:firstLine="708"/>
        <w:jc w:val="both"/>
        <w:rPr>
          <w:sz w:val="26"/>
          <w:szCs w:val="26"/>
        </w:rPr>
      </w:pPr>
      <w:r>
        <w:rPr>
          <w:sz w:val="26"/>
          <w:szCs w:val="26"/>
        </w:rPr>
        <w:t xml:space="preserve"> Длина ВОК для подвески/прокладки, места размещения и количество оптических муфт с устройством выкладки технологического запаса ВОК, количество и номенклатура спиральных зажимов НСО-П/ ПСО-П, узлов крепления, арматуры подвески, лотков и других необходимых материалов – уточняются Подрядчиком на этапе предварительного обследования и учитываются в разработанным Подрядчиком Рабочем проекте и поставляются Подрядчиком.</w:t>
      </w:r>
    </w:p>
    <w:p w:rsidR="006C6FA3" w:rsidRDefault="006C6FA3" w:rsidP="006C6FA3">
      <w:pPr>
        <w:ind w:firstLine="708"/>
        <w:jc w:val="both"/>
        <w:rPr>
          <w:sz w:val="26"/>
          <w:szCs w:val="26"/>
        </w:rPr>
      </w:pPr>
      <w:r>
        <w:rPr>
          <w:sz w:val="26"/>
          <w:szCs w:val="26"/>
        </w:rPr>
        <w:t xml:space="preserve">Подрядчик на основании ПУЭ издание 7 глава 2.5 п. 199 должен выполнить расчёты резерва механической прочности опор ВЛ и их фундаментов для определения возможности подвески ВОК, а также расчёты, подтверждающие </w:t>
      </w:r>
      <w:proofErr w:type="gramStart"/>
      <w:r>
        <w:rPr>
          <w:sz w:val="26"/>
          <w:szCs w:val="26"/>
        </w:rPr>
        <w:t>необходимый</w:t>
      </w:r>
      <w:proofErr w:type="gramEnd"/>
      <w:r>
        <w:rPr>
          <w:sz w:val="26"/>
          <w:szCs w:val="26"/>
        </w:rPr>
        <w:t xml:space="preserve"> объем работ по доведению ВЛ до состояния позволяющего произвести подвеску ВОК.</w:t>
      </w:r>
    </w:p>
    <w:p w:rsidR="006C6FA3" w:rsidRDefault="006C6FA3" w:rsidP="006C6FA3">
      <w:pPr>
        <w:ind w:firstLine="708"/>
        <w:jc w:val="both"/>
        <w:rPr>
          <w:sz w:val="26"/>
          <w:szCs w:val="26"/>
        </w:rPr>
      </w:pPr>
      <w:r>
        <w:rPr>
          <w:sz w:val="26"/>
          <w:szCs w:val="26"/>
        </w:rPr>
        <w:t>Расчёты должна выполнить проектная организация, имеющая лицензии и допуски СРО на выполнение данного вида работ.</w:t>
      </w:r>
    </w:p>
    <w:p w:rsidR="006C6FA3" w:rsidRDefault="006C6FA3" w:rsidP="006C6FA3">
      <w:pPr>
        <w:ind w:firstLine="708"/>
        <w:jc w:val="both"/>
        <w:rPr>
          <w:sz w:val="26"/>
          <w:szCs w:val="26"/>
        </w:rPr>
      </w:pPr>
      <w:r>
        <w:rPr>
          <w:sz w:val="26"/>
          <w:szCs w:val="26"/>
        </w:rPr>
        <w:t>Материалы обследования ВЛ, расчёты резерва механической прочности, расчёты подтверждающие необходимые объёмы работ, согласовать с главным инженером ФАО «Хабаровские ЭС».</w:t>
      </w:r>
    </w:p>
    <w:p w:rsidR="006C6FA3" w:rsidRDefault="006C6FA3" w:rsidP="006C6FA3">
      <w:pPr>
        <w:ind w:firstLine="708"/>
        <w:jc w:val="both"/>
      </w:pPr>
      <w:r>
        <w:rPr>
          <w:sz w:val="26"/>
          <w:szCs w:val="26"/>
        </w:rPr>
        <w:t xml:space="preserve">В случае необходимости выполнения мероприятий по доведению(укреплению) опор ВЛ до состояния, позволяющего выполнить подвеску ВОК, подрядчик производит эти работы без изменения стоимости работ по договору.  </w:t>
      </w:r>
    </w:p>
    <w:p w:rsidR="006C6FA3" w:rsidRDefault="006C6FA3" w:rsidP="006C6FA3">
      <w:pPr>
        <w:sectPr w:rsidR="006C6FA3">
          <w:pgSz w:w="16840" w:h="11907" w:orient="landscape"/>
          <w:pgMar w:top="1418" w:right="1134" w:bottom="567" w:left="1134" w:header="142" w:footer="0" w:gutter="0"/>
          <w:paperSrc w:first="7" w:other="7"/>
          <w:cols w:space="720"/>
        </w:sectPr>
      </w:pPr>
    </w:p>
    <w:p w:rsidR="006C6FA3" w:rsidRDefault="006C6FA3" w:rsidP="006C6FA3">
      <w:pPr>
        <w:tabs>
          <w:tab w:val="left" w:pos="620"/>
        </w:tabs>
      </w:pPr>
      <w:r>
        <w:object w:dxaOrig="15675" w:dyaOrig="6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3.95pt;height:324pt" o:ole="">
            <v:imagedata r:id="rId5" o:title=""/>
          </v:shape>
          <o:OLEObject Type="Embed" ProgID="Visio.Drawing.11" ShapeID="_x0000_i1025" DrawAspect="Content" ObjectID="_1676357999" r:id="rId6"/>
        </w:object>
      </w:r>
    </w:p>
    <w:p w:rsidR="006C6FA3" w:rsidRDefault="006C6FA3" w:rsidP="006C6FA3">
      <w:pPr>
        <w:sectPr w:rsidR="006C6FA3">
          <w:pgSz w:w="16840" w:h="11907" w:orient="landscape"/>
          <w:pgMar w:top="1418" w:right="1134" w:bottom="567" w:left="1134" w:header="142" w:footer="0" w:gutter="0"/>
          <w:cols w:space="720"/>
        </w:sectPr>
      </w:pPr>
    </w:p>
    <w:p w:rsidR="004D7FD9" w:rsidRDefault="004D7FD9"/>
    <w:sectPr w:rsidR="004D7F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0C7399"/>
    <w:multiLevelType w:val="hybridMultilevel"/>
    <w:tmpl w:val="1962113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FA3"/>
    <w:rsid w:val="004D7FD9"/>
    <w:rsid w:val="006C6F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AC491"/>
  <w15:chartTrackingRefBased/>
  <w15:docId w15:val="{E51E4753-8256-44BD-8661-DD476C5F8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FA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79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1084</Words>
  <Characters>6179</Characters>
  <Application>Microsoft Office Word</Application>
  <DocSecurity>0</DocSecurity>
  <Lines>51</Lines>
  <Paragraphs>14</Paragraphs>
  <ScaleCrop>false</ScaleCrop>
  <Company>DRSK</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Коврижкина Елена Юрьевна</dc:creator>
  <cp:keywords/>
  <dc:description/>
  <cp:lastModifiedBy>Коврижкина Елена Юрьевна</cp:lastModifiedBy>
  <cp:revision>1</cp:revision>
  <dcterms:created xsi:type="dcterms:W3CDTF">2021-03-04T01:13:00Z</dcterms:created>
  <dcterms:modified xsi:type="dcterms:W3CDTF">2021-03-04T01:13:00Z</dcterms:modified>
</cp:coreProperties>
</file>